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9978" w14:textId="77777777" w:rsidR="00590C41" w:rsidRPr="005E2428" w:rsidRDefault="00590C41" w:rsidP="00590C41">
      <w:pPr>
        <w:pStyle w:val="Title"/>
        <w:rPr>
          <w:sz w:val="18"/>
          <w:szCs w:val="18"/>
        </w:rPr>
      </w:pPr>
    </w:p>
    <w:p w14:paraId="56C345F1" w14:textId="77777777" w:rsidR="00590C41" w:rsidRPr="00CB1921" w:rsidRDefault="00590C41" w:rsidP="00590C41">
      <w:pPr>
        <w:pStyle w:val="Title"/>
      </w:pPr>
      <w:r w:rsidRPr="00880EE5">
        <w:t xml:space="preserve">Equal Opportunities &amp; Diversity Policy and Statement </w:t>
      </w:r>
      <w:r>
        <w:t>o</w:t>
      </w:r>
      <w:r w:rsidRPr="00880EE5">
        <w:t>f Intent</w:t>
      </w:r>
    </w:p>
    <w:p w14:paraId="1C5F14FB" w14:textId="77777777" w:rsidR="00590C41" w:rsidRDefault="00590C41" w:rsidP="00590C41">
      <w:pPr>
        <w:jc w:val="both"/>
      </w:pPr>
    </w:p>
    <w:p w14:paraId="06B4A047" w14:textId="77777777" w:rsidR="00590C41" w:rsidRDefault="00590C41" w:rsidP="00590C41">
      <w:pPr>
        <w:jc w:val="both"/>
      </w:pPr>
    </w:p>
    <w:p w14:paraId="5A757505" w14:textId="77777777" w:rsidR="00590C41" w:rsidRDefault="00590C41" w:rsidP="00590C41">
      <w:pPr>
        <w:jc w:val="both"/>
      </w:pPr>
      <w:r>
        <w:t xml:space="preserve">Anmol Management Facility Services Ltd members and staff oppose racism and sexism in all the forms in which it is manifested. We pledge to implement policies that treat all persons in all the functions of our business equally on the basis of race, sex, class, </w:t>
      </w:r>
      <w:proofErr w:type="spellStart"/>
      <w:r>
        <w:t>colour</w:t>
      </w:r>
      <w:proofErr w:type="spellEnd"/>
      <w:r>
        <w:t xml:space="preserve">, ethnic origin, nationality, sexuality, marital status, age, trade union activity or membership, physical or mental disability, or religious belief. We </w:t>
      </w:r>
      <w:proofErr w:type="spellStart"/>
      <w:r>
        <w:t>endeavour</w:t>
      </w:r>
      <w:proofErr w:type="spellEnd"/>
      <w:r>
        <w:t xml:space="preserve"> to promote these values within the places where we operate and with individuals, organizations or entities that we come into contact with.</w:t>
      </w:r>
    </w:p>
    <w:p w14:paraId="6717279E" w14:textId="77777777" w:rsidR="00590C41" w:rsidRDefault="00590C41" w:rsidP="00590C41">
      <w:pPr>
        <w:jc w:val="both"/>
      </w:pPr>
    </w:p>
    <w:p w14:paraId="7E57BA54" w14:textId="77777777" w:rsidR="00590C41" w:rsidRDefault="00590C41" w:rsidP="00590C41">
      <w:pPr>
        <w:jc w:val="both"/>
      </w:pPr>
      <w:r>
        <w:t>Anmol Management Facility Services Ltd is dedicated to taking action to carrying out this policy.</w:t>
      </w:r>
    </w:p>
    <w:p w14:paraId="069411DE" w14:textId="77777777" w:rsidR="00590C41" w:rsidRDefault="00590C41" w:rsidP="00590C41">
      <w:pPr>
        <w:jc w:val="both"/>
      </w:pPr>
    </w:p>
    <w:p w14:paraId="797E341B" w14:textId="77777777" w:rsidR="00590C41" w:rsidRDefault="00590C41" w:rsidP="00590C41">
      <w:pPr>
        <w:jc w:val="both"/>
      </w:pPr>
      <w:r>
        <w:t>Anmol Management Facility Services Ltd states that it is an equal opportunities employer. Accordingly:</w:t>
      </w:r>
    </w:p>
    <w:p w14:paraId="79A1F46E" w14:textId="77777777" w:rsidR="00590C41" w:rsidRDefault="00590C41" w:rsidP="00590C41">
      <w:pPr>
        <w:jc w:val="both"/>
      </w:pPr>
    </w:p>
    <w:p w14:paraId="552B0D48" w14:textId="77777777" w:rsidR="00590C41" w:rsidRDefault="00590C41" w:rsidP="00590C41">
      <w:pPr>
        <w:jc w:val="both"/>
      </w:pPr>
      <w:r>
        <w:t xml:space="preserve">In providing Security Services and employing persons to provide these services, Anmol Management Facility Services Ltd </w:t>
      </w:r>
      <w:proofErr w:type="spellStart"/>
      <w:r>
        <w:t>endeavours</w:t>
      </w:r>
      <w:proofErr w:type="spellEnd"/>
      <w:r>
        <w:t xml:space="preserve"> to make any employment decisions on the basis of equality of opportunity and fair treatment for all persons.</w:t>
      </w:r>
    </w:p>
    <w:p w14:paraId="6FA95D98" w14:textId="77777777" w:rsidR="00590C41" w:rsidRDefault="00590C41" w:rsidP="00590C41">
      <w:pPr>
        <w:jc w:val="both"/>
      </w:pPr>
    </w:p>
    <w:p w14:paraId="4F787346" w14:textId="77777777" w:rsidR="00590C41" w:rsidRDefault="00590C41" w:rsidP="00590C41">
      <w:pPr>
        <w:jc w:val="both"/>
      </w:pPr>
      <w:r>
        <w:t xml:space="preserve">No one or group seeking services, a job, or contracts with us will be treated with discrimination on the basis of sex, sexuality, age, race, class, </w:t>
      </w:r>
      <w:proofErr w:type="spellStart"/>
      <w:r>
        <w:t>colour</w:t>
      </w:r>
      <w:proofErr w:type="spellEnd"/>
      <w:r>
        <w:t>, nationality, ethnic origin, marital status, trade union membership or activity, physical or mental disability, or religious belief.</w:t>
      </w:r>
    </w:p>
    <w:p w14:paraId="5AEB235D" w14:textId="77777777" w:rsidR="00590C41" w:rsidRDefault="00590C41" w:rsidP="00590C41">
      <w:pPr>
        <w:jc w:val="both"/>
      </w:pPr>
    </w:p>
    <w:p w14:paraId="09B885F3" w14:textId="77777777" w:rsidR="00590C41" w:rsidRDefault="00590C41" w:rsidP="00590C41">
      <w:pPr>
        <w:jc w:val="both"/>
      </w:pPr>
      <w:r>
        <w:t>Anmol Management Facility Services Ltd, in the course of implementing this policy, will strive to aid disadvantaged person groups to benefit from its provided services, and attempt to identify the needs of such persons and groups.</w:t>
      </w:r>
    </w:p>
    <w:p w14:paraId="06F7629E" w14:textId="77777777" w:rsidR="00590C41" w:rsidRDefault="00590C41" w:rsidP="00590C41">
      <w:pPr>
        <w:jc w:val="both"/>
      </w:pPr>
    </w:p>
    <w:p w14:paraId="5B8F08BC" w14:textId="77777777" w:rsidR="00590C41" w:rsidRDefault="00590C41" w:rsidP="00590C41">
      <w:pPr>
        <w:jc w:val="both"/>
      </w:pPr>
      <w:r>
        <w:t>We will compile and review records of the ethnic/racial origin and sex of everyone applying for services or jobs from us to aid in implementing this equal opportunity policy.</w:t>
      </w:r>
    </w:p>
    <w:p w14:paraId="194EFD20" w14:textId="77777777" w:rsidR="00590C41" w:rsidRDefault="00590C41" w:rsidP="00590C41">
      <w:pPr>
        <w:jc w:val="both"/>
      </w:pPr>
    </w:p>
    <w:p w14:paraId="06516C86" w14:textId="77777777" w:rsidR="00590C41" w:rsidRDefault="00590C41" w:rsidP="00590C41">
      <w:r>
        <w:t xml:space="preserve">Additional information can be found at: </w:t>
      </w:r>
    </w:p>
    <w:p w14:paraId="7CBD177C" w14:textId="77777777" w:rsidR="00590C41" w:rsidRDefault="00590C41" w:rsidP="00590C41">
      <w:r>
        <w:t xml:space="preserve">ACAS WEBSITE </w:t>
      </w:r>
      <w:hyperlink r:id="rId8" w:history="1">
        <w:r w:rsidRPr="00880EE5">
          <w:rPr>
            <w:rStyle w:val="Hyperlink"/>
            <w:color w:val="A50505" w:themeColor="accent1"/>
            <w:u w:val="none"/>
          </w:rPr>
          <w:t>www.acas.org.uk/media/word/7/r/Equality-policy-template.doc</w:t>
        </w:r>
      </w:hyperlink>
      <w:r>
        <w:t xml:space="preserve"> </w:t>
      </w:r>
    </w:p>
    <w:p w14:paraId="7D3AE2D5" w14:textId="77777777" w:rsidR="00590C41" w:rsidRDefault="00590C41" w:rsidP="00590C41">
      <w:pPr>
        <w:jc w:val="both"/>
      </w:pPr>
    </w:p>
    <w:p w14:paraId="571D1012" w14:textId="77777777" w:rsidR="00590C41" w:rsidRDefault="00590C41" w:rsidP="00590C41">
      <w:pPr>
        <w:jc w:val="both"/>
      </w:pPr>
      <w:r>
        <w:t xml:space="preserve">For and on behalf of Anmol Management Facility Services Ltd </w:t>
      </w:r>
    </w:p>
    <w:p w14:paraId="10FE64C6" w14:textId="77777777" w:rsidR="00590C41" w:rsidRDefault="00590C41" w:rsidP="00590C41">
      <w:pPr>
        <w:jc w:val="both"/>
      </w:pPr>
    </w:p>
    <w:p w14:paraId="0A6CB86E" w14:textId="77777777" w:rsidR="00590C41" w:rsidRDefault="00590C41" w:rsidP="00590C41">
      <w:pPr>
        <w:jc w:val="both"/>
      </w:pPr>
    </w:p>
    <w:p w14:paraId="07EC05CB" w14:textId="77777777" w:rsidR="00590C41" w:rsidRDefault="00590C41" w:rsidP="00590C41">
      <w:pPr>
        <w:jc w:val="both"/>
      </w:pPr>
    </w:p>
    <w:p w14:paraId="04A6E835" w14:textId="77777777" w:rsidR="00590C41" w:rsidRDefault="00590C41" w:rsidP="00590C41">
      <w:pPr>
        <w:jc w:val="both"/>
      </w:pPr>
    </w:p>
    <w:p w14:paraId="1226FA38" w14:textId="77777777" w:rsidR="00590C41" w:rsidRDefault="00590C41" w:rsidP="00590C41">
      <w:pPr>
        <w:jc w:val="both"/>
      </w:pPr>
    </w:p>
    <w:p w14:paraId="7C59FC53" w14:textId="77777777" w:rsidR="00590C41" w:rsidRDefault="00590C41" w:rsidP="00590C41"/>
    <w:p w14:paraId="2331EF05" w14:textId="77777777" w:rsidR="00590C41" w:rsidRDefault="00590C41" w:rsidP="00590C41"/>
    <w:p w14:paraId="4DAB57D3" w14:textId="77777777" w:rsidR="00590C41" w:rsidRDefault="00590C41" w:rsidP="00590C41"/>
    <w:p w14:paraId="41551EA8" w14:textId="77777777" w:rsidR="00590C41" w:rsidRDefault="00590C41" w:rsidP="00590C41"/>
    <w:p w14:paraId="7985E72C" w14:textId="77777777" w:rsidR="00590C41" w:rsidRDefault="00590C41" w:rsidP="00590C4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590C41" w14:paraId="7DDCD0CD" w14:textId="77777777" w:rsidTr="000B5CCB">
        <w:tc>
          <w:tcPr>
            <w:tcW w:w="3586" w:type="dxa"/>
            <w:tcBorders>
              <w:bottom w:val="single" w:sz="4" w:space="0" w:color="000000" w:themeColor="accent2"/>
            </w:tcBorders>
          </w:tcPr>
          <w:p w14:paraId="21028284" w14:textId="77777777" w:rsidR="00590C41" w:rsidRDefault="00590C41" w:rsidP="000B5CCB"/>
        </w:tc>
        <w:tc>
          <w:tcPr>
            <w:tcW w:w="286" w:type="dxa"/>
          </w:tcPr>
          <w:p w14:paraId="7855BB6C" w14:textId="77777777" w:rsidR="00590C41" w:rsidRDefault="00590C41" w:rsidP="000B5CCB"/>
        </w:tc>
        <w:tc>
          <w:tcPr>
            <w:tcW w:w="3583" w:type="dxa"/>
            <w:tcBorders>
              <w:bottom w:val="single" w:sz="4" w:space="0" w:color="000000" w:themeColor="accent2"/>
            </w:tcBorders>
          </w:tcPr>
          <w:p w14:paraId="0C04044A" w14:textId="77777777" w:rsidR="00590C41" w:rsidRDefault="00590C41" w:rsidP="000B5CCB"/>
        </w:tc>
        <w:tc>
          <w:tcPr>
            <w:tcW w:w="286" w:type="dxa"/>
          </w:tcPr>
          <w:p w14:paraId="11254DA6" w14:textId="77777777" w:rsidR="00590C41" w:rsidRDefault="00590C41" w:rsidP="000B5CCB"/>
        </w:tc>
        <w:tc>
          <w:tcPr>
            <w:tcW w:w="2293" w:type="dxa"/>
            <w:tcBorders>
              <w:bottom w:val="single" w:sz="4" w:space="0" w:color="000000" w:themeColor="accent2"/>
            </w:tcBorders>
          </w:tcPr>
          <w:p w14:paraId="5F2086B6" w14:textId="77777777" w:rsidR="00590C41" w:rsidRDefault="00590C41" w:rsidP="000B5CCB"/>
        </w:tc>
      </w:tr>
      <w:tr w:rsidR="00590C41" w14:paraId="3BA48ED3" w14:textId="77777777" w:rsidTr="000B5CCB">
        <w:tc>
          <w:tcPr>
            <w:tcW w:w="3586" w:type="dxa"/>
            <w:tcBorders>
              <w:top w:val="single" w:sz="4" w:space="0" w:color="000000" w:themeColor="accent2"/>
            </w:tcBorders>
          </w:tcPr>
          <w:p w14:paraId="1B433CC4" w14:textId="77777777" w:rsidR="00590C41" w:rsidRDefault="00590C41" w:rsidP="000B5CCB">
            <w:r>
              <w:t>Signature</w:t>
            </w:r>
          </w:p>
        </w:tc>
        <w:tc>
          <w:tcPr>
            <w:tcW w:w="286" w:type="dxa"/>
          </w:tcPr>
          <w:p w14:paraId="7D7EDB14" w14:textId="77777777" w:rsidR="00590C41" w:rsidRDefault="00590C41" w:rsidP="000B5CCB"/>
        </w:tc>
        <w:tc>
          <w:tcPr>
            <w:tcW w:w="3583" w:type="dxa"/>
            <w:tcBorders>
              <w:top w:val="single" w:sz="4" w:space="0" w:color="000000" w:themeColor="accent2"/>
            </w:tcBorders>
          </w:tcPr>
          <w:p w14:paraId="06A79118" w14:textId="77777777" w:rsidR="00590C41" w:rsidRDefault="00590C41" w:rsidP="000B5CCB">
            <w:r>
              <w:t>Position</w:t>
            </w:r>
          </w:p>
        </w:tc>
        <w:tc>
          <w:tcPr>
            <w:tcW w:w="286" w:type="dxa"/>
          </w:tcPr>
          <w:p w14:paraId="6575FEE3" w14:textId="77777777" w:rsidR="00590C41" w:rsidRDefault="00590C41" w:rsidP="000B5CCB"/>
        </w:tc>
        <w:tc>
          <w:tcPr>
            <w:tcW w:w="2293" w:type="dxa"/>
            <w:tcBorders>
              <w:top w:val="single" w:sz="4" w:space="0" w:color="000000" w:themeColor="accent2"/>
            </w:tcBorders>
          </w:tcPr>
          <w:p w14:paraId="7AC03B01" w14:textId="77777777" w:rsidR="00590C41" w:rsidRDefault="00590C41" w:rsidP="000B5CCB">
            <w:r>
              <w:t>Date</w:t>
            </w:r>
          </w:p>
        </w:tc>
      </w:tr>
    </w:tbl>
    <w:p w14:paraId="3307F910" w14:textId="77777777" w:rsidR="00590C41" w:rsidRDefault="00590C41" w:rsidP="00590C41"/>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9"/>
      <w:headerReference w:type="default" r:id="rId10"/>
      <w:footerReference w:type="even" r:id="rId11"/>
      <w:footerReference w:type="default" r:id="rId12"/>
      <w:headerReference w:type="first" r:id="rId13"/>
      <w:footerReference w:type="first" r:id="rId14"/>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147E" w14:textId="77777777" w:rsidR="00F52449" w:rsidRDefault="00F52449" w:rsidP="006E04EF">
      <w:r>
        <w:separator/>
      </w:r>
    </w:p>
  </w:endnote>
  <w:endnote w:type="continuationSeparator" w:id="0">
    <w:p w14:paraId="24A17C6F" w14:textId="77777777" w:rsidR="00F52449" w:rsidRDefault="00F52449"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5DCBA" w14:textId="77777777" w:rsidR="00F52449" w:rsidRDefault="00F52449" w:rsidP="006E04EF">
      <w:r>
        <w:separator/>
      </w:r>
    </w:p>
  </w:footnote>
  <w:footnote w:type="continuationSeparator" w:id="0">
    <w:p w14:paraId="4330AF80" w14:textId="77777777" w:rsidR="00F52449" w:rsidRDefault="00F52449"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55AAC"/>
    <w:rsid w:val="00561FEA"/>
    <w:rsid w:val="00590C41"/>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A028D"/>
    <w:rsid w:val="007A6BEE"/>
    <w:rsid w:val="00814E47"/>
    <w:rsid w:val="00844D48"/>
    <w:rsid w:val="00851C56"/>
    <w:rsid w:val="008839A6"/>
    <w:rsid w:val="008E1012"/>
    <w:rsid w:val="00904FA8"/>
    <w:rsid w:val="00916C68"/>
    <w:rsid w:val="009808F5"/>
    <w:rsid w:val="00980BF1"/>
    <w:rsid w:val="009D4984"/>
    <w:rsid w:val="009E2268"/>
    <w:rsid w:val="009F1EBE"/>
    <w:rsid w:val="00A463C5"/>
    <w:rsid w:val="00A51AAA"/>
    <w:rsid w:val="00A5295E"/>
    <w:rsid w:val="00A67F5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52449"/>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s.org.uk/media/word/7/r/Equality-policy-template.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2022-10-14T15:35:00Z</dcterms:modified>
</cp:coreProperties>
</file>